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附件一：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  新闻与传播学院研究生国家奖学金评选细则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widowControl/>
        <w:autoSpaceDN w:val="0"/>
        <w:spacing w:line="520" w:lineRule="exact"/>
        <w:ind w:firstLine="562" w:firstLineChars="200"/>
        <w:jc w:val="left"/>
        <w:rPr>
          <w:rFonts w:hint="eastAsia"/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一、总分计算方式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1、</w:t>
      </w:r>
      <w:r>
        <w:rPr>
          <w:color w:val="000000"/>
          <w:kern w:val="0"/>
          <w:sz w:val="28"/>
          <w:szCs w:val="28"/>
        </w:rPr>
        <w:t>博士</w:t>
      </w:r>
      <w:r>
        <w:rPr>
          <w:rFonts w:hint="eastAsia"/>
          <w:color w:val="000000"/>
          <w:kern w:val="0"/>
          <w:sz w:val="28"/>
          <w:szCs w:val="28"/>
        </w:rPr>
        <w:t>生计分项目和所占比例</w:t>
      </w:r>
      <w:r>
        <w:rPr>
          <w:color w:val="000000"/>
          <w:kern w:val="0"/>
          <w:sz w:val="28"/>
          <w:szCs w:val="28"/>
        </w:rPr>
        <w:t>：A思想品德，占10%；B科学研究，占50%；C学习成绩，占10%；D社会活动，占10%；E文体活动，占5%；F社会工作，占15%。各项得分乘以各项系数后累计总分为最后得分。</w:t>
      </w:r>
    </w:p>
    <w:p>
      <w:pPr>
        <w:widowControl/>
        <w:autoSpaceDN w:val="0"/>
        <w:spacing w:line="520" w:lineRule="exact"/>
        <w:ind w:firstLine="600" w:firstLineChars="200"/>
        <w:jc w:val="left"/>
        <w:rPr>
          <w:rFonts w:hint="eastAsia"/>
          <w:color w:val="000000"/>
          <w:kern w:val="0"/>
          <w:sz w:val="30"/>
        </w:rPr>
      </w:pPr>
      <w:r>
        <w:rPr>
          <w:rFonts w:hint="eastAsia"/>
          <w:color w:val="000000"/>
          <w:kern w:val="0"/>
          <w:sz w:val="30"/>
        </w:rPr>
        <w:t>计分公式为：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总分</w:t>
      </w:r>
      <w:r>
        <w:rPr>
          <w:color w:val="000000"/>
          <w:kern w:val="0"/>
          <w:sz w:val="28"/>
          <w:szCs w:val="28"/>
        </w:rPr>
        <w:t>=A×10%+B×50%+C×10%+D×10%+E×5%+F×15%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2、硕士生计分项目和所占比例：</w:t>
      </w:r>
      <w:r>
        <w:rPr>
          <w:color w:val="000000"/>
          <w:kern w:val="0"/>
          <w:sz w:val="28"/>
          <w:szCs w:val="28"/>
        </w:rPr>
        <w:t>A思想品德，占15%；B科学研究，占30%；C学习成绩，占20%；D社会活动，占15%；E文体活动，占5%；F社会工作，占15%。各项得分乘以各项系数后累计总分为最后得分。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计分公式为：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总分=A×15%+B×30%+C×20%+D×15%+E×5%+F×15%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color w:val="000000"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autoSpaceDN w:val="0"/>
        <w:spacing w:line="520" w:lineRule="exact"/>
        <w:ind w:firstLine="562" w:firstLineChars="200"/>
        <w:jc w:val="left"/>
        <w:rPr>
          <w:rFonts w:hint="eastAsia"/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学习成绩计算方法</w:t>
      </w:r>
    </w:p>
    <w:p>
      <w:pPr>
        <w:widowControl/>
        <w:numPr>
          <w:numId w:val="0"/>
        </w:numPr>
        <w:autoSpaceDN w:val="0"/>
        <w:spacing w:line="520" w:lineRule="exact"/>
        <w:jc w:val="left"/>
        <w:rPr>
          <w:rFonts w:hint="eastAsia" w:eastAsia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color w:val="000000"/>
          <w:kern w:val="0"/>
          <w:sz w:val="28"/>
          <w:szCs w:val="28"/>
          <w:lang w:val="en-US" w:eastAsia="zh-CN"/>
        </w:rPr>
        <w:t>1、老生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/>
          <w:color w:val="000000"/>
          <w:kern w:val="0"/>
          <w:sz w:val="28"/>
          <w:szCs w:val="28"/>
        </w:rPr>
        <w:t>学习成绩计算公共课和其它培养单位认定的课程成绩。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/>
          <w:color w:val="000000"/>
          <w:kern w:val="0"/>
          <w:sz w:val="28"/>
          <w:szCs w:val="28"/>
        </w:rPr>
        <w:t>学习成绩的计算：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平均学习成绩C=（X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/>
          <w:color w:val="000000"/>
          <w:kern w:val="0"/>
          <w:sz w:val="28"/>
          <w:szCs w:val="28"/>
        </w:rPr>
        <w:t>/Y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/>
          <w:color w:val="000000"/>
          <w:kern w:val="0"/>
          <w:sz w:val="28"/>
          <w:szCs w:val="28"/>
        </w:rPr>
        <w:t>）*60% +（X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/>
          <w:color w:val="000000"/>
          <w:kern w:val="0"/>
          <w:sz w:val="28"/>
          <w:szCs w:val="28"/>
        </w:rPr>
        <w:t>/Y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/>
          <w:color w:val="000000"/>
          <w:kern w:val="0"/>
          <w:sz w:val="28"/>
          <w:szCs w:val="28"/>
        </w:rPr>
        <w:t>）*40%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其中   X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/>
          <w:color w:val="000000"/>
          <w:kern w:val="0"/>
          <w:sz w:val="28"/>
          <w:szCs w:val="28"/>
        </w:rPr>
        <w:t>=必修课课程学分乘以相应课程成绩的总和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 xml:space="preserve">       Y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1</w:t>
      </w:r>
      <w:r>
        <w:rPr>
          <w:rFonts w:hint="eastAsia"/>
          <w:color w:val="000000"/>
          <w:kern w:val="0"/>
          <w:sz w:val="28"/>
          <w:szCs w:val="28"/>
        </w:rPr>
        <w:t>=必修课课程学分的总和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 xml:space="preserve">       X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/>
          <w:color w:val="000000"/>
          <w:kern w:val="0"/>
          <w:sz w:val="28"/>
          <w:szCs w:val="28"/>
        </w:rPr>
        <w:t>=选修课课程学分乘以相应课程成绩的总和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 xml:space="preserve">       Y</w:t>
      </w:r>
      <w:r>
        <w:rPr>
          <w:rFonts w:hint="eastAsia"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/>
          <w:color w:val="000000"/>
          <w:kern w:val="0"/>
          <w:sz w:val="28"/>
          <w:szCs w:val="28"/>
        </w:rPr>
        <w:t>=选修课课程学分的总和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 xml:space="preserve"> 课程成绩中，计分A+相当于95分，A相当于90分，A-相当于85分，B+相当于80分，B相当于75分，免修相当于90分，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出现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B-及B-以下</w:t>
      </w:r>
      <w:r>
        <w:rPr>
          <w:rFonts w:hint="eastAsia"/>
          <w:b/>
          <w:bCs/>
          <w:color w:val="000000"/>
          <w:kern w:val="0"/>
          <w:sz w:val="28"/>
          <w:szCs w:val="28"/>
          <w:lang w:eastAsia="zh-CN"/>
        </w:rPr>
        <w:t>者，</w:t>
      </w:r>
      <w:r>
        <w:rPr>
          <w:rFonts w:hint="eastAsia"/>
          <w:b/>
          <w:bCs/>
          <w:color w:val="000000"/>
          <w:kern w:val="0"/>
          <w:sz w:val="28"/>
          <w:szCs w:val="28"/>
        </w:rPr>
        <w:t>无参评资格</w:t>
      </w:r>
      <w:r>
        <w:rPr>
          <w:rFonts w:hint="eastAsia"/>
          <w:color w:val="000000"/>
          <w:kern w:val="0"/>
          <w:sz w:val="28"/>
          <w:szCs w:val="28"/>
        </w:rPr>
        <w:t>。</w:t>
      </w:r>
    </w:p>
    <w:p>
      <w:pPr>
        <w:widowControl/>
        <w:numPr>
          <w:ilvl w:val="0"/>
          <w:numId w:val="2"/>
        </w:numPr>
        <w:autoSpaceDN w:val="0"/>
        <w:spacing w:line="520" w:lineRule="exact"/>
        <w:ind w:firstLine="560" w:firstLineChars="200"/>
        <w:jc w:val="left"/>
        <w:rPr>
          <w:rFonts w:hint="eastAsia"/>
          <w:b w:val="0"/>
          <w:bCs w:val="0"/>
          <w:color w:val="000000"/>
          <w:kern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color w:val="000000"/>
          <w:kern w:val="0"/>
          <w:sz w:val="28"/>
          <w:szCs w:val="28"/>
          <w:lang w:eastAsia="zh-CN"/>
        </w:rPr>
        <w:t>新生</w:t>
      </w:r>
    </w:p>
    <w:p>
      <w:pPr>
        <w:widowControl/>
        <w:numPr>
          <w:numId w:val="0"/>
        </w:numPr>
        <w:autoSpaceDN w:val="0"/>
        <w:spacing w:line="520" w:lineRule="exact"/>
        <w:ind w:firstLine="560" w:firstLineChars="200"/>
        <w:jc w:val="left"/>
        <w:rPr>
          <w:rFonts w:hint="eastAsia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kern w:val="0"/>
          <w:sz w:val="28"/>
          <w:szCs w:val="28"/>
          <w:lang w:val="en-US" w:eastAsia="zh-CN"/>
        </w:rPr>
        <w:t>（1）硕士新生学习成绩</w:t>
      </w:r>
    </w:p>
    <w:p>
      <w:pPr>
        <w:widowControl/>
        <w:numPr>
          <w:numId w:val="0"/>
        </w:numPr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kern w:val="0"/>
          <w:sz w:val="28"/>
          <w:szCs w:val="28"/>
          <w:lang w:val="en-US" w:eastAsia="zh-CN"/>
        </w:rPr>
        <w:t>C=考研总成绩</w:t>
      </w:r>
      <w:r>
        <w:rPr>
          <w:rFonts w:hint="eastAsia"/>
          <w:color w:val="000000"/>
          <w:kern w:val="0"/>
          <w:sz w:val="28"/>
          <w:szCs w:val="28"/>
        </w:rPr>
        <w:t>×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0.5+本科成绩G点分</w:t>
      </w:r>
      <w:r>
        <w:rPr>
          <w:rFonts w:hint="eastAsia"/>
          <w:color w:val="000000"/>
          <w:kern w:val="0"/>
          <w:sz w:val="28"/>
          <w:szCs w:val="28"/>
        </w:rPr>
        <w:t>×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25</w:t>
      </w:r>
      <w:r>
        <w:rPr>
          <w:rFonts w:hint="eastAsia"/>
          <w:color w:val="000000"/>
          <w:kern w:val="0"/>
          <w:sz w:val="28"/>
          <w:szCs w:val="28"/>
        </w:rPr>
        <w:t>×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0.5</w:t>
      </w:r>
    </w:p>
    <w:p>
      <w:pPr>
        <w:widowControl/>
        <w:numPr>
          <w:ilvl w:val="0"/>
          <w:numId w:val="3"/>
        </w:numPr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博士新生学习成绩</w:t>
      </w:r>
    </w:p>
    <w:p>
      <w:pPr>
        <w:widowControl/>
        <w:numPr>
          <w:numId w:val="0"/>
        </w:numPr>
        <w:autoSpaceDN w:val="0"/>
        <w:spacing w:line="520" w:lineRule="exact"/>
        <w:jc w:val="left"/>
        <w:rPr>
          <w:rFonts w:hint="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color w:val="000000"/>
          <w:kern w:val="0"/>
          <w:sz w:val="28"/>
          <w:szCs w:val="28"/>
          <w:lang w:val="en-US" w:eastAsia="zh-CN"/>
        </w:rPr>
        <w:t xml:space="preserve">    C=考博总成绩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3、硕士生学习成绩乘以学习成绩系数20%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kern w:val="0"/>
          <w:sz w:val="28"/>
          <w:szCs w:val="28"/>
        </w:rPr>
        <w:t>即C×20%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/>
          <w:color w:val="000000"/>
          <w:kern w:val="0"/>
          <w:sz w:val="28"/>
          <w:szCs w:val="28"/>
        </w:rPr>
        <w:t>为研究生学习成绩最后得分。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博士生学习成绩乘以学习成绩系数10%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kern w:val="0"/>
          <w:sz w:val="28"/>
          <w:szCs w:val="28"/>
        </w:rPr>
        <w:t>即C×10%</w:t>
      </w:r>
      <w:r>
        <w:rPr>
          <w:rFonts w:hint="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/>
          <w:color w:val="000000"/>
          <w:kern w:val="0"/>
          <w:sz w:val="28"/>
          <w:szCs w:val="28"/>
        </w:rPr>
        <w:t>为研究生学习成绩最后得分。</w:t>
      </w: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/>
          <w:color w:val="000000"/>
          <w:kern w:val="0"/>
          <w:sz w:val="28"/>
          <w:szCs w:val="28"/>
        </w:rPr>
        <w:t>三、</w:t>
      </w:r>
      <w:r>
        <w:rPr>
          <w:rFonts w:hint="eastAsia" w:ascii="宋体" w:hAnsi="宋体"/>
          <w:b/>
          <w:sz w:val="24"/>
          <w:szCs w:val="24"/>
        </w:rPr>
        <w:t>思想品德计分标准</w:t>
      </w:r>
    </w:p>
    <w:tbl>
      <w:tblPr>
        <w:tblpPr w:leftFromText="180" w:rightFromText="180" w:vertAnchor="text" w:horzAnchor="page" w:tblpX="1710" w:tblpY="386"/>
        <w:tblOverlap w:val="never"/>
        <w:tblW w:w="8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71"/>
        <w:gridCol w:w="708"/>
        <w:gridCol w:w="707"/>
        <w:gridCol w:w="1695"/>
        <w:gridCol w:w="3959"/>
      </w:tblGrid>
      <w:tr>
        <w:trPr>
          <w:cantSplit/>
          <w:trHeight w:val="987" w:hRule="atLeast"/>
        </w:trPr>
        <w:tc>
          <w:tcPr>
            <w:tcW w:w="1271" w:type="dxa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group id="组合 1025" o:spid="_x0000_s1025" style="position:absolute;left:0;margin-left:-4.6pt;margin-top:0pt;height:52.75pt;width:46.75pt;rotation:0f;z-index:251658240;" coordorigin="0,0" coordsize="935,1055">
                  <o:lock v:ext="edit" position="f" selection="f" grouping="f" rotation="f" cropping="f" text="f" aspectratio="f"/>
                  <v:line id="__TH_L27" o:spid="_x0000_s1031" style="position:absolute;left:0;top:0;height:1055;width:935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shape id="__TH_B1128" o:spid="_x0000_s1032" type="#_x0000_t202" style="position:absolute;left:416;top:74;height:263;width:252;rotation:0f;" o:ole="f" fillcolor="#FFFFFF" filled="f" o:preferrelative="t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f"/>
                    <v:textbox inset="0.00pt,0.00pt,0.00pt,0.00pt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得</w:t>
                          </w:r>
                        </w:p>
                      </w:txbxContent>
                    </v:textbox>
                  </v:shape>
                  <v:shape id="__TH_B1229" o:spid="_x0000_s1033" type="#_x0000_t202" style="position:absolute;left:594;top:275;height:262;width:252;rotation:0f;" o:ole="f" fillcolor="#FFFFFF" filled="f" o:preferrelative="t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f"/>
                    <v:textbox inset="0.00pt,0.00pt,0.00pt,0.00pt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分</w:t>
                          </w:r>
                        </w:p>
                      </w:txbxContent>
                    </v:textbox>
                  </v:shape>
                  <v:shape id="__TH_B2130" o:spid="_x0000_s1034" type="#_x0000_t202" style="position:absolute;left:108;top:472;height:262;width:252;rotation:0f;" o:ole="f" fillcolor="#FFFFFF" filled="f" o:preferrelative="t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f"/>
                    <v:textbox inset="0.00pt,0.00pt,0.00pt,0.00pt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项</w:t>
                          </w:r>
                        </w:p>
                      </w:txbxContent>
                    </v:textbox>
                  </v:shape>
                  <v:shape id="__TH_B2231" o:spid="_x0000_s1035" type="#_x0000_t202" style="position:absolute;left:313;top:703;height:263;width:252;rotation:0f;" o:ole="f" fillcolor="#FFFFFF" filled="f" o:preferrelative="t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f"/>
                    <v:textbox inset="0.00pt,0.00pt,0.00pt,0.00pt">
                      <w:txbxContent>
                        <w:p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目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0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1695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3959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说    明</w:t>
            </w:r>
          </w:p>
        </w:tc>
      </w:tr>
      <w:tr>
        <w:trPr>
          <w:cantSplit/>
          <w:trHeight w:val="6129" w:hRule="atLeast"/>
        </w:trPr>
        <w:tc>
          <w:tcPr>
            <w:tcW w:w="127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思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想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德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家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级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表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彰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</w:tc>
        <w:tc>
          <w:tcPr>
            <w:tcW w:w="70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级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表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彰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</w:tc>
        <w:tc>
          <w:tcPr>
            <w:tcW w:w="1695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1.校党委、校行政发文表彰者；</w:t>
            </w:r>
          </w:p>
          <w:p>
            <w:pPr>
              <w:spacing w:line="40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2.获县级及以上地方政府表彰者。</w:t>
            </w:r>
          </w:p>
        </w:tc>
        <w:tc>
          <w:tcPr>
            <w:tcW w:w="3959" w:type="dxa"/>
            <w:vAlign w:val="top"/>
          </w:tcPr>
          <w:p>
            <w:pPr>
              <w:spacing w:line="400" w:lineRule="atLeas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1．由评选小组根据研究生思想品德表现给出个人评议加分（包括未受表彰者），但应控制加分上限。</w:t>
            </w:r>
          </w:p>
          <w:p>
            <w:pPr>
              <w:spacing w:line="400" w:lineRule="atLeas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2．各级表彰均应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属思想品德方面；受表彰者须出示表彰文件或证书证明；</w:t>
            </w:r>
          </w:p>
          <w:p>
            <w:pPr>
              <w:spacing w:line="400" w:lineRule="atLeas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3．同一事迹受不同级别表彰者，以最高分计，不累加；受培养单位研工组表扬加分累计不得超过9分；</w:t>
            </w:r>
          </w:p>
          <w:p>
            <w:pPr>
              <w:spacing w:line="400" w:lineRule="atLeas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4．见义勇为、助人为乐需提供依据证实；</w:t>
            </w:r>
          </w:p>
          <w:p>
            <w:pPr>
              <w:spacing w:line="400" w:lineRule="atLeas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5．各项可累积加分，但应根据实际情况控制上限。</w:t>
            </w:r>
          </w:p>
        </w:tc>
      </w:tr>
    </w:tbl>
    <w:p>
      <w:pPr>
        <w:spacing w:line="300" w:lineRule="auto"/>
        <w:jc w:val="center"/>
        <w:rPr>
          <w:rFonts w:hint="eastAsia" w:ascii="宋体" w:hAnsi="宋体"/>
          <w:b/>
          <w:sz w:val="24"/>
          <w:szCs w:val="24"/>
        </w:rPr>
      </w:pPr>
    </w:p>
    <w:p>
      <w:pPr>
        <w:widowControl/>
        <w:autoSpaceDN w:val="0"/>
        <w:spacing w:line="520" w:lineRule="exact"/>
        <w:ind w:firstLine="560" w:firstLineChars="200"/>
        <w:jc w:val="left"/>
        <w:rPr>
          <w:rFonts w:hint="eastAsia"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rFonts w:hint="eastAsia"/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widowControl/>
        <w:autoSpaceDN w:val="0"/>
        <w:spacing w:line="520" w:lineRule="exact"/>
        <w:jc w:val="left"/>
        <w:rPr>
          <w:b/>
          <w:bCs/>
          <w:color w:val="000000"/>
          <w:kern w:val="0"/>
          <w:sz w:val="28"/>
          <w:szCs w:val="28"/>
        </w:rPr>
      </w:pPr>
    </w:p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bCs/>
          <w:sz w:val="28"/>
          <w:szCs w:val="28"/>
          <w:lang w:eastAsia="zh-CN"/>
        </w:rPr>
        <w:t>四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sz w:val="24"/>
          <w:szCs w:val="24"/>
        </w:rPr>
        <w:t>科研成果获奖计分标准</w:t>
      </w:r>
    </w:p>
    <w:tbl>
      <w:tblPr>
        <w:tblW w:w="8940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41"/>
        <w:gridCol w:w="1336"/>
        <w:gridCol w:w="1747"/>
        <w:gridCol w:w="2055"/>
        <w:gridCol w:w="2261"/>
      </w:tblGrid>
      <w:tr>
        <w:trPr>
          <w:trHeight w:val="436" w:hRule="atLeast"/>
        </w:trPr>
        <w:tc>
          <w:tcPr>
            <w:tcW w:w="1541" w:type="dxa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获奖等级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作者排名顺序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作者得分（分/项）</w:t>
            </w:r>
          </w:p>
        </w:tc>
        <w:tc>
          <w:tcPr>
            <w:tcW w:w="2261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  注</w:t>
            </w: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家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级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果</w:t>
            </w: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</w:t>
            </w:r>
          </w:p>
        </w:tc>
        <w:tc>
          <w:tcPr>
            <w:tcW w:w="2261" w:type="dxa"/>
            <w:vMerge w:val="restart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1．同一科研成果获不同级别奖励，取最高分计，不累加；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2．若该科研成果只有一位作者，则享受该成果第一作者得分；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3．若科研成果是合作项目，研究生为第二作者，其导师为第一作者，视研究生为第一作者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,其他合作方式不加分；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4．若获奖科研成果公开发表，取最高分计，不累加；</w:t>
            </w:r>
          </w:p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5. 获国家发明专利成果应有专利证书，若该专利获得其他科研奖励者，以最高分计，不累加。</w:t>
            </w: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restart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（部）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级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果</w:t>
            </w: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restart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校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（市）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级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果</w:t>
            </w: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399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436" w:hRule="atLeast"/>
        </w:trPr>
        <w:tc>
          <w:tcPr>
            <w:tcW w:w="1541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发明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专利</w:t>
            </w:r>
          </w:p>
        </w:tc>
        <w:tc>
          <w:tcPr>
            <w:tcW w:w="1336" w:type="dxa"/>
            <w:vMerge w:val="restart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452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ind w:firstLine="210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2-3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rPr>
          <w:cantSplit/>
          <w:trHeight w:val="464" w:hRule="atLeast"/>
        </w:trPr>
        <w:tc>
          <w:tcPr>
            <w:tcW w:w="1541" w:type="dxa"/>
            <w:vMerge w:val="continue"/>
            <w:vAlign w:val="top"/>
          </w:tcPr>
          <w:p>
            <w:pPr>
              <w:spacing w:line="300" w:lineRule="auto"/>
              <w:ind w:firstLine="210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6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4-5</w:t>
            </w:r>
          </w:p>
        </w:tc>
        <w:tc>
          <w:tcPr>
            <w:tcW w:w="2055" w:type="dxa"/>
            <w:vAlign w:val="top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261" w:type="dxa"/>
            <w:vMerge w:val="continue"/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300" w:lineRule="auto"/>
        <w:rPr>
          <w:rFonts w:hint="eastAsia"/>
          <w:sz w:val="24"/>
        </w:rPr>
      </w:pPr>
    </w:p>
    <w:p>
      <w:pPr>
        <w:spacing w:line="30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五</w:t>
      </w:r>
      <w:r>
        <w:rPr>
          <w:rFonts w:hint="eastAsia"/>
          <w:b/>
          <w:bCs/>
          <w:sz w:val="24"/>
          <w:szCs w:val="24"/>
        </w:rPr>
        <w:t>、科学</w:t>
      </w:r>
      <w:r>
        <w:rPr>
          <w:rFonts w:hint="eastAsia"/>
          <w:b/>
          <w:sz w:val="24"/>
          <w:szCs w:val="24"/>
        </w:rPr>
        <w:t>论文及著作计分标准</w:t>
      </w:r>
    </w:p>
    <w:tbl>
      <w:tblPr>
        <w:tblpPr w:leftFromText="180" w:rightFromText="180" w:vertAnchor="text" w:horzAnchor="page" w:tblpX="1792" w:tblpY="128"/>
        <w:tblOverlap w:val="never"/>
        <w:tblW w:w="9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00"/>
        <w:gridCol w:w="3705"/>
        <w:gridCol w:w="1020"/>
        <w:gridCol w:w="4050"/>
      </w:tblGrid>
      <w:tr>
        <w:trPr>
          <w:cantSplit/>
          <w:trHeight w:val="570" w:hRule="atLeast"/>
        </w:trPr>
        <w:tc>
          <w:tcPr>
            <w:tcW w:w="410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   目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计分</w:t>
            </w:r>
          </w:p>
        </w:tc>
        <w:tc>
          <w:tcPr>
            <w:tcW w:w="40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说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明</w:t>
            </w:r>
          </w:p>
        </w:tc>
      </w:tr>
      <w:tr>
        <w:trPr>
          <w:cantSplit/>
          <w:trHeight w:val="784" w:hRule="atLeast"/>
        </w:trPr>
        <w:tc>
          <w:tcPr>
            <w:tcW w:w="400" w:type="dxa"/>
            <w:vMerge w:val="restart"/>
            <w:vAlign w:val="top"/>
          </w:tcPr>
          <w:p>
            <w:pPr>
              <w:widowControl/>
              <w:spacing w:line="300" w:lineRule="auto"/>
              <w:jc w:val="center"/>
            </w:pPr>
          </w:p>
          <w:p>
            <w:pPr>
              <w:widowControl/>
              <w:spacing w:line="300" w:lineRule="auto"/>
              <w:jc w:val="center"/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widowControl/>
              <w:spacing w:line="300" w:lineRule="auto"/>
              <w:jc w:val="center"/>
              <w:rPr>
                <w:rFonts w:hint="eastAsia"/>
              </w:rPr>
            </w:pPr>
          </w:p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分</w:t>
            </w: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2013-2013年度武汉大学奖励期刊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30分/篇</w:t>
            </w:r>
          </w:p>
        </w:tc>
        <w:tc>
          <w:tcPr>
            <w:tcW w:w="4050" w:type="dxa"/>
            <w:vMerge w:val="restart"/>
            <w:tcMar>
              <w:top w:w="57" w:type="dxa"/>
            </w:tcMar>
            <w:vAlign w:val="top"/>
          </w:tcPr>
          <w:p>
            <w:pPr>
              <w:numPr>
                <w:ilvl w:val="0"/>
                <w:numId w:val="4"/>
              </w:numPr>
              <w:spacing w:line="300" w:lineRule="auto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</w:rPr>
              <w:t>论文及著作（含会议论文、参与项目）加分实行代表作制</w:t>
            </w:r>
            <w:r>
              <w:rPr>
                <w:rFonts w:hint="eastAsia"/>
                <w:color w:val="auto"/>
                <w:highlight w:val="none"/>
              </w:rPr>
              <w:t>，每名参评研究生代表作原则上不超过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auto"/>
                <w:highlight w:val="none"/>
              </w:rPr>
              <w:t>篇（项）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若研究生为第二作者，其导师为第一作者，视研究生为第一作者</w:t>
            </w:r>
            <w:r>
              <w:rPr>
                <w:rFonts w:hint="eastAsia"/>
                <w:lang w:eastAsia="zh-CN"/>
              </w:rPr>
              <w:t>，其它合作形式均视为无效；老生</w:t>
            </w:r>
            <w:r>
              <w:rPr>
                <w:rFonts w:hint="eastAsia"/>
              </w:rPr>
              <w:t xml:space="preserve">第一作者和评奖人单位应明确为武汉大学，否则不加分； 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3、同一论文被不同刊物收录（转载），以最高级别刊物加分，不累加；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4、所有成果加分均应有书籍原件证实，否则不得加分；参编、翻译著作文字在2万字以下的，不得加分；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5、会议宣读论文必须有录入该文的大会议程和论文集（论文集光盘）；收入论文集的必须有论文集（论文集光盘），否则不予加分。同一论文在不同的学术会议上宣读或收录，计最高分，不累加；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6、各培养单位应确定、公布本单位认可的权威期刊目录，鼓励研究生发表高水平科研成果。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7、ISTP、EI收录的会议论文，各培养单位可结合实际情况，制订对应的细则内容，计分控制在20分至30分每篇。</w:t>
            </w: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tcMar>
              <w:top w:w="57" w:type="dxa"/>
              <w:bottom w:w="28" w:type="dxa"/>
            </w:tcMar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人民日报、光明日报理论版刊登的学术论文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分/篇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2012-2013年度CSSCI收录期刊</w:t>
            </w:r>
            <w:r>
              <w:rPr>
                <w:rFonts w:hint="eastAsia"/>
                <w:lang w:eastAsia="zh-CN"/>
              </w:rPr>
              <w:t>（含扩展版）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15分/篇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省级学术刊物发表的学术论文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5分/篇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938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《武汉大学研究生学报》发表的学术论文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分/篇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独自出版学术专著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40分/部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独自出版学术译著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30分/部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参加翻译学术著作达5万字以上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10分/部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参加翻译学术著作达2万至5万字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5分/部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参加编著学术著作达10万字以上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15分/部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参加编著学术著作达5万至10万字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10分/部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参加编著学术著作达2万至5万字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5分/部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rPr>
          <w:cantSplit/>
          <w:trHeight w:val="705" w:hRule="atLeast"/>
        </w:trPr>
        <w:tc>
          <w:tcPr>
            <w:tcW w:w="400" w:type="dxa"/>
            <w:vMerge w:val="continue"/>
            <w:tcBorders>
              <w:bottom w:val="nil"/>
            </w:tcBorders>
            <w:vAlign w:val="top"/>
          </w:tcPr>
          <w:p>
            <w:pPr>
              <w:spacing w:line="300" w:lineRule="auto"/>
              <w:jc w:val="left"/>
              <w:rPr>
                <w:rFonts w:hint="eastAsia"/>
              </w:rPr>
            </w:pPr>
          </w:p>
        </w:tc>
        <w:tc>
          <w:tcPr>
            <w:tcW w:w="3705" w:type="dxa"/>
            <w:tcBorders>
              <w:bottom w:val="single" w:color="auto" w:sz="4" w:space="0"/>
            </w:tcBorders>
            <w:tcMar>
              <w:top w:w="57" w:type="dxa"/>
            </w:tcMar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在全国性或国际性学术会议上宣读</w:t>
            </w:r>
            <w:r>
              <w:rPr>
                <w:rFonts w:hint="eastAsia"/>
                <w:lang w:eastAsia="zh-CN"/>
              </w:rPr>
              <w:t>或收录论文集的论文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10分/篇</w:t>
            </w:r>
          </w:p>
        </w:tc>
        <w:tc>
          <w:tcPr>
            <w:tcW w:w="405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</w:tbl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bCs/>
          <w:sz w:val="24"/>
        </w:rPr>
      </w:pPr>
    </w:p>
    <w:p>
      <w:pPr>
        <w:spacing w:line="30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六、</w:t>
      </w:r>
      <w:r>
        <w:rPr>
          <w:rFonts w:hint="eastAsia"/>
          <w:b/>
          <w:sz w:val="28"/>
          <w:szCs w:val="28"/>
        </w:rPr>
        <w:t>社会活动、文体活动、社会工作计分标准</w:t>
      </w:r>
    </w:p>
    <w:tbl>
      <w:tblPr>
        <w:tblpPr w:leftFromText="180" w:rightFromText="180" w:vertAnchor="text" w:horzAnchor="page" w:tblpX="1927" w:tblpY="579"/>
        <w:tblOverlap w:val="never"/>
        <w:tblW w:w="83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0"/>
        <w:gridCol w:w="483"/>
        <w:gridCol w:w="541"/>
        <w:gridCol w:w="689"/>
        <w:gridCol w:w="802"/>
        <w:gridCol w:w="803"/>
        <w:gridCol w:w="801"/>
        <w:gridCol w:w="1131"/>
        <w:gridCol w:w="1276"/>
        <w:gridCol w:w="964"/>
      </w:tblGrid>
      <w:tr>
        <w:trPr>
          <w:cantSplit/>
          <w:trHeight w:val="494" w:hRule="atLeast"/>
        </w:trPr>
        <w:tc>
          <w:tcPr>
            <w:tcW w:w="1293" w:type="dxa"/>
            <w:gridSpan w:val="2"/>
            <w:vMerge w:val="restart"/>
            <w:vAlign w:val="top"/>
          </w:tcPr>
          <w:p>
            <w:pPr>
              <w:spacing w:line="300" w:lineRule="auto"/>
              <w:rPr>
                <w:szCs w:val="21"/>
              </w:rPr>
            </w:pPr>
          </w:p>
          <w:p>
            <w:pPr>
              <w:spacing w:line="300" w:lineRule="auto"/>
              <w:rPr>
                <w:rFonts w:hint="eastAsia"/>
                <w:szCs w:val="21"/>
              </w:rPr>
            </w:pPr>
          </w:p>
          <w:p>
            <w:pPr>
              <w:spacing w:line="300" w:lineRule="auto"/>
              <w:rPr>
                <w:szCs w:val="21"/>
              </w:rPr>
            </w:pPr>
          </w:p>
        </w:tc>
        <w:tc>
          <w:tcPr>
            <w:tcW w:w="541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名次</w:t>
            </w:r>
          </w:p>
        </w:tc>
        <w:tc>
          <w:tcPr>
            <w:tcW w:w="68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获奖等级</w:t>
            </w:r>
          </w:p>
        </w:tc>
        <w:tc>
          <w:tcPr>
            <w:tcW w:w="2406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先进集体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社 会  活  动</w:t>
            </w:r>
          </w:p>
        </w:tc>
        <w:tc>
          <w:tcPr>
            <w:tcW w:w="964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文体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</w:t>
            </w:r>
          </w:p>
        </w:tc>
      </w:tr>
      <w:tr>
        <w:trPr>
          <w:cantSplit/>
          <w:trHeight w:val="1698" w:hRule="atLeast"/>
        </w:trPr>
        <w:tc>
          <w:tcPr>
            <w:tcW w:w="1293" w:type="dxa"/>
            <w:gridSpan w:val="2"/>
            <w:vMerge w:val="continue"/>
            <w:vAlign w:val="top"/>
          </w:tcPr>
          <w:p>
            <w:pPr>
              <w:spacing w:line="300" w:lineRule="auto"/>
              <w:rPr>
                <w:rFonts w:hint="eastAsia"/>
                <w:szCs w:val="21"/>
              </w:rPr>
            </w:pPr>
          </w:p>
        </w:tc>
        <w:tc>
          <w:tcPr>
            <w:tcW w:w="541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89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主要干部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其他干部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其他学生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学科竞赛</w:t>
            </w:r>
            <w:r>
              <w:rPr>
                <w:rFonts w:hint="eastAsia"/>
                <w:szCs w:val="21"/>
                <w:lang w:eastAsia="zh-CN"/>
              </w:rPr>
              <w:t>，学术论坛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非学术论文</w:t>
            </w:r>
          </w:p>
        </w:tc>
        <w:tc>
          <w:tcPr>
            <w:tcW w:w="964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rPr>
          <w:cantSplit/>
          <w:trHeight w:val="447" w:hRule="atLeast"/>
        </w:trPr>
        <w:tc>
          <w:tcPr>
            <w:tcW w:w="810" w:type="dxa"/>
            <w:vMerge w:val="restart"/>
            <w:textDirection w:val="tbLrV"/>
            <w:vAlign w:val="top"/>
          </w:tcPr>
          <w:p>
            <w:pPr>
              <w:spacing w:line="300" w:lineRule="auto"/>
              <w:ind w:left="113" w:right="113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社会活动文体活动获奖</w:t>
            </w:r>
          </w:p>
          <w:p>
            <w:pPr>
              <w:spacing w:line="300" w:lineRule="auto"/>
              <w:ind w:left="113" w:right="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restart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>
        <w:trPr>
          <w:cantSplit/>
          <w:trHeight w:val="44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>
        <w:trPr>
          <w:cantSplit/>
          <w:trHeight w:val="44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4-5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rPr>
          <w:cantSplit/>
          <w:trHeight w:val="44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restart"/>
            <w:textDirection w:val="tbRlV"/>
            <w:vAlign w:val="center"/>
          </w:tcPr>
          <w:p>
            <w:pPr>
              <w:spacing w:line="300" w:lineRule="auto"/>
              <w:ind w:left="113" w:right="113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省（部市）级</w:t>
            </w: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>
        <w:trPr>
          <w:cantSplit/>
          <w:trHeight w:val="53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  <w:szCs w:val="21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rPr>
          <w:cantSplit/>
          <w:trHeight w:val="449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  <w:szCs w:val="21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4-5</w:t>
            </w: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>
        <w:trPr>
          <w:cantSplit/>
          <w:trHeight w:val="431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restart"/>
            <w:textDirection w:val="tbLrV"/>
            <w:vAlign w:val="top"/>
          </w:tcPr>
          <w:p>
            <w:pPr>
              <w:spacing w:line="300" w:lineRule="auto"/>
              <w:ind w:left="113" w:right="113"/>
              <w:jc w:val="lef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校（部）级</w:t>
            </w: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一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rPr>
          <w:cantSplit/>
          <w:trHeight w:val="45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textDirection w:val="tbLrV"/>
            <w:vAlign w:val="top"/>
          </w:tcPr>
          <w:p>
            <w:pPr>
              <w:spacing w:line="300" w:lineRule="auto"/>
              <w:ind w:left="113" w:right="113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二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rPr>
          <w:cantSplit/>
          <w:trHeight w:val="437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3" w:type="dxa"/>
            <w:vMerge w:val="continue"/>
            <w:textDirection w:val="tbLrV"/>
            <w:vAlign w:val="top"/>
          </w:tcPr>
          <w:p>
            <w:pPr>
              <w:spacing w:line="300" w:lineRule="auto"/>
              <w:ind w:left="113" w:right="113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541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89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三</w:t>
            </w:r>
          </w:p>
        </w:tc>
        <w:tc>
          <w:tcPr>
            <w:tcW w:w="802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64" w:type="dxa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rPr>
          <w:cantSplit/>
          <w:trHeight w:val="447" w:hRule="atLeast"/>
        </w:trPr>
        <w:tc>
          <w:tcPr>
            <w:tcW w:w="810" w:type="dxa"/>
            <w:vMerge w:val="restart"/>
            <w:textDirection w:val="tbLrV"/>
            <w:vAlign w:val="top"/>
          </w:tcPr>
          <w:p>
            <w:pPr>
              <w:spacing w:line="300" w:lineRule="auto"/>
              <w:ind w:left="113" w:right="113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社  会  工  作</w:t>
            </w:r>
          </w:p>
          <w:p>
            <w:pPr>
              <w:spacing w:line="300" w:lineRule="auto"/>
              <w:ind w:left="113" w:right="113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00" w:lineRule="auto"/>
              <w:ind w:left="113" w:right="113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社会工作</w:t>
            </w:r>
          </w:p>
        </w:tc>
        <w:tc>
          <w:tcPr>
            <w:tcW w:w="1024" w:type="dxa"/>
            <w:gridSpan w:val="2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≤</w:t>
            </w: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94" w:type="dxa"/>
            <w:gridSpan w:val="3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≤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172" w:type="dxa"/>
            <w:gridSpan w:val="4"/>
            <w:vAlign w:val="top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≤</w:t>
            </w:r>
            <w:r>
              <w:rPr>
                <w:rFonts w:hint="eastAsia"/>
                <w:szCs w:val="21"/>
              </w:rPr>
              <w:t>6</w:t>
            </w:r>
          </w:p>
        </w:tc>
      </w:tr>
      <w:tr>
        <w:trPr>
          <w:cantSplit/>
          <w:trHeight w:val="3993" w:hRule="atLeast"/>
        </w:trPr>
        <w:tc>
          <w:tcPr>
            <w:tcW w:w="810" w:type="dxa"/>
            <w:vMerge w:val="continue"/>
            <w:vAlign w:val="top"/>
          </w:tcPr>
          <w:p>
            <w:pPr>
              <w:spacing w:line="300" w:lineRule="auto"/>
              <w:rPr>
                <w:rFonts w:hint="eastAsia"/>
                <w:szCs w:val="21"/>
              </w:rPr>
            </w:pPr>
          </w:p>
        </w:tc>
        <w:tc>
          <w:tcPr>
            <w:tcW w:w="1024" w:type="dxa"/>
            <w:gridSpan w:val="2"/>
            <w:tcMar>
              <w:top w:w="57" w:type="dxa"/>
            </w:tcMar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校研究生会</w:t>
            </w:r>
            <w:r>
              <w:rPr>
                <w:rFonts w:hint="eastAsia"/>
                <w:szCs w:val="21"/>
                <w:lang w:eastAsia="zh-CN"/>
              </w:rPr>
              <w:t>（学生会）</w:t>
            </w:r>
            <w:r>
              <w:rPr>
                <w:rFonts w:hint="eastAsia"/>
                <w:szCs w:val="21"/>
              </w:rPr>
              <w:t>正副主席、校博士生分会主席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研究生学报社社长</w:t>
            </w:r>
          </w:p>
        </w:tc>
        <w:tc>
          <w:tcPr>
            <w:tcW w:w="2294" w:type="dxa"/>
            <w:gridSpan w:val="3"/>
            <w:tcBorders>
              <w:bottom w:val="single" w:color="auto" w:sz="4" w:space="0"/>
            </w:tcBorders>
            <w:tcMar>
              <w:top w:w="57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院研究生会</w:t>
            </w:r>
            <w:r>
              <w:rPr>
                <w:rFonts w:hint="eastAsia"/>
                <w:szCs w:val="21"/>
                <w:lang w:eastAsia="zh-CN"/>
              </w:rPr>
              <w:t>（学生会）</w:t>
            </w:r>
            <w:r>
              <w:rPr>
                <w:rFonts w:hint="eastAsia"/>
                <w:szCs w:val="21"/>
              </w:rPr>
              <w:t>主席</w:t>
            </w:r>
          </w:p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研究生学报社副社长、主编</w:t>
            </w:r>
          </w:p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校博士生分会副主席、秘书长、部长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校研究生会副秘书长、部长</w:t>
            </w:r>
          </w:p>
        </w:tc>
        <w:tc>
          <w:tcPr>
            <w:tcW w:w="4172" w:type="dxa"/>
            <w:gridSpan w:val="4"/>
            <w:tcBorders>
              <w:bottom w:val="single" w:color="auto" w:sz="4" w:space="0"/>
            </w:tcBorders>
            <w:tcMar>
              <w:top w:w="57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校研究生会</w:t>
            </w:r>
            <w:r>
              <w:rPr>
                <w:rFonts w:hint="eastAsia"/>
                <w:szCs w:val="21"/>
                <w:lang w:eastAsia="zh-CN"/>
              </w:rPr>
              <w:t>（学生会）</w:t>
            </w:r>
            <w:r>
              <w:rPr>
                <w:rFonts w:hint="eastAsia"/>
                <w:szCs w:val="21"/>
              </w:rPr>
              <w:t>副部长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院研究生会副主席、部长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校博士生分会副部长、副秘书长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研究生学报社副主编</w:t>
            </w:r>
          </w:p>
          <w:p>
            <w:pPr>
              <w:spacing w:line="30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班长、学院（直属系）研究生党支部书记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几点说明</w:t>
      </w:r>
      <w:r>
        <w:rPr>
          <w:rFonts w:hint="eastAsia"/>
          <w:b/>
          <w:bCs/>
          <w:sz w:val="28"/>
          <w:szCs w:val="28"/>
        </w:rPr>
        <w:t>：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1、各加分项目应有相关文件、证书、原件或部门证明予以证实，否则不予认可。未设奖励名次的奖项按同级别的最高等级计分。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2、先进集体指先进党支部、优秀班集体等。同一集体因同一原因获不同“先进集体”称号，学生计分取最高分，不累加；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3、先进集体中主要干部为班长、党支部</w:t>
      </w:r>
      <w:r>
        <w:rPr>
          <w:rFonts w:hint="eastAsia"/>
          <w:sz w:val="24"/>
          <w:szCs w:val="24"/>
          <w:lang w:eastAsia="zh-CN"/>
        </w:rPr>
        <w:t>书记</w:t>
      </w:r>
      <w:r>
        <w:rPr>
          <w:rFonts w:hint="eastAsia"/>
          <w:sz w:val="24"/>
          <w:szCs w:val="24"/>
        </w:rPr>
        <w:t>，其他学生干部为班委、</w:t>
      </w:r>
      <w:r>
        <w:rPr>
          <w:rFonts w:hint="eastAsia"/>
          <w:sz w:val="24"/>
          <w:szCs w:val="24"/>
          <w:lang w:eastAsia="zh-CN"/>
        </w:rPr>
        <w:t>党支部委员、</w:t>
      </w:r>
      <w:r>
        <w:rPr>
          <w:rFonts w:hint="eastAsia"/>
          <w:sz w:val="24"/>
          <w:szCs w:val="24"/>
        </w:rPr>
        <w:t>团支部委员，其他学生为该集体中的其他学生，得分计入社会工作得分中；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4、学科竞赛、文体活动若为团体，所有成员均获得该项相应名次得分；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5、同一文体活动获不同等级奖，计最高分，不累加，若为不同项目，可累加； </w:t>
      </w:r>
    </w:p>
    <w:p>
      <w:pPr>
        <w:spacing w:line="30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6、非学术论文指社会调查报告、社会实践报告、关于学校建设性意见报告、散文和诗歌，本项计分实行代表作制，总数不超过4篇；通讯、简讯等不计分；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7、社会工作计分由学生组织视学生干部的实际工作情况给分，由院系评审领导小组确定；兼任多项学生工作职务者计最高分，不累加；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8、因解职、辞职、免职使任职时间不足一届2/3的学生干部不予加分，增补、升任的干部，任职时间若超过半年不足一年的按50%给予加分；</w:t>
      </w:r>
    </w:p>
    <w:p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9、按课程要求参加社会实践、实习和参加学校有关部门组织的“三助”工作的，不应加分；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10、各级学生组织的内部奖励不予加分；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11、若以团体名义获奖，除获奖证书原件外，还需提供个人参与的相关依据。</w:t>
      </w:r>
    </w:p>
    <w:p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aperSrc w:first="0" w:other="0"/>
      <w:pgNumType w:fmt="decimal"/>
      <w:cols w:space="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rPr>
        <w:rFonts w:hint="eastAsia" w:eastAsia="宋体"/>
        <w:lang w:eastAsia="zh-CN"/>
      </w:rPr>
    </w:pPr>
    <w:r>
      <w:rPr>
        <w:rFonts w:ascii="Times New Roman" w:hAnsi="Times New Roman" w:eastAsia="宋体" w:cs="Times New Roman"/>
        <w:kern w:val="2"/>
        <w:sz w:val="18"/>
        <w:szCs w:val="20"/>
        <w:lang w:val="en-US" w:eastAsia="zh-CN" w:bidi="ar-SA"/>
      </w:rPr>
      <w:pict>
        <v:shape id="文本框12" o:spid="_x0000_s1029" type="#_x0000_t202" style="position:absolute;left:0;margin-top:0pt;height:144pt;width:144pt;mso-position-horizontal:center;mso-position-horizontal-relative:margin;mso-wrap-style:none;rotation:0f;z-index:251661312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ascii="Times New Roman" w:hAnsi="Times New Roman" w:eastAsia="宋体" w:cs="Times New Roman"/>
        <w:kern w:val="2"/>
        <w:sz w:val="18"/>
        <w:szCs w:val="20"/>
        <w:lang w:val="en-US" w:eastAsia="zh-CN" w:bidi="ar-SA"/>
      </w:rPr>
      <w:pict>
        <v:shape id="文本框9" o:spid="_x0000_s1028" type="#_x0000_t202" style="position:absolute;left:0;margin-top:0pt;height:144pt;width:144pt;mso-position-horizontal:center;mso-position-horizontal-relative:margin;mso-wrap-style:none;rotation:0f;z-index:251660288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rPr>
                    <w:rFonts w:hint="eastAsia"/>
                    <w:lang w:eastAsia="zh-CN"/>
                  </w:rPr>
                </w:pPr>
              </w:p>
            </w:txbxContent>
          </v:textbox>
        </v:shape>
      </w:pict>
    </w:r>
    <w:r>
      <w:rPr>
        <w:rFonts w:ascii="Times New Roman" w:hAnsi="Times New Roman" w:eastAsia="宋体" w:cs="Times New Roman"/>
        <w:kern w:val="2"/>
        <w:sz w:val="18"/>
        <w:szCs w:val="20"/>
        <w:lang w:val="en-US" w:eastAsia="zh-CN" w:bidi="ar-SA"/>
      </w:rPr>
      <w:pict>
        <v:shape id="文本框8" o:spid="_x0000_s1027" type="#_x0000_t202" style="position:absolute;left:0;margin-top:-10.55pt;height:22.25pt;width:36.95pt;mso-position-horizontal:center;mso-position-horizontal-relative:margin;rotation:0f;z-index:25165926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rPr>
                    <w:rFonts w:hint="eastAsia"/>
                    <w:lang w:eastAsia="zh-CN"/>
                  </w:rPr>
                </w:pPr>
              </w:p>
            </w:txbxContent>
          </v:textbox>
        </v:shape>
      </w:pict>
    </w:r>
    <w:r>
      <w:rPr>
        <w:rFonts w:ascii="Times New Roman" w:hAnsi="Times New Roman" w:eastAsia="宋体" w:cs="Times New Roman"/>
        <w:kern w:val="2"/>
        <w:sz w:val="18"/>
        <w:szCs w:val="20"/>
        <w:lang w:val="en-US" w:eastAsia="zh-CN" w:bidi="ar-SA"/>
      </w:rPr>
      <w:pict>
        <v:shape id="文本框7" o:spid="_x0000_s1026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val="en-US" w:eastAsia="zh-CN"/>
                  </w:rPr>
                  <w:t>1</w:t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t xml:space="preserve">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">
    <w:nsid w:val="0000000A"/>
    <w:multiLevelType w:val="singleLevel"/>
    <w:tmpl w:val="0000000A"/>
    <w:lvl w:ilvl="0" w:tentative="1">
      <w:start w:val="2"/>
      <w:numFmt w:val="decimal"/>
      <w:suff w:val="nothing"/>
      <w:lvlText w:val="%1、"/>
      <w:lvlJc w:val="left"/>
    </w:lvl>
  </w:abstractNum>
  <w:abstractNum w:abstractNumId="11">
    <w:nsid w:val="0000000B"/>
    <w:multiLevelType w:val="singleLevel"/>
    <w:tmpl w:val="0000000B"/>
    <w:lvl w:ilvl="0" w:tentative="1">
      <w:start w:val="2"/>
      <w:numFmt w:val="decimal"/>
      <w:suff w:val="nothing"/>
      <w:lvlText w:val="（%1）"/>
      <w:lvlJc w:val="left"/>
    </w:lvl>
  </w:abstractNum>
  <w:abstractNum w:abstractNumId="12">
    <w:nsid w:val="0000000C"/>
    <w:multiLevelType w:val="singleLevel"/>
    <w:tmpl w:val="0000000C"/>
    <w:lvl w:ilvl="0" w:tentative="1">
      <w:start w:val="2"/>
      <w:numFmt w:val="chineseCounting"/>
      <w:suff w:val="nothing"/>
      <w:lvlText w:val="%1、"/>
      <w:lvlJc w:val="left"/>
    </w:lvl>
  </w:abstractNum>
  <w:abstractNum w:abstractNumId="13">
    <w:nsid w:val="0000000D"/>
    <w:multiLevelType w:val="singleLevel"/>
    <w:tmpl w:val="0000000D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594</Words>
  <Characters>3387</Characters>
  <Lines>28</Lines>
  <Paragraphs>7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2013-09-27T04:35:00Z</dcterms:created>
  <dc:creator>Administrator</dc:creator>
  <cp:lastPrinted>2013-09-29T10:52:21Z</cp:lastPrinted>
  <dcterms:modified xsi:type="dcterms:W3CDTF">2013-09-29T14:56:07Z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